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4D" w:rsidRDefault="00845E4D" w:rsidP="00FF1F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45E4D" w:rsidTr="00845E4D">
        <w:trPr>
          <w:trHeight w:hRule="exact" w:val="318"/>
        </w:trPr>
        <w:tc>
          <w:tcPr>
            <w:tcW w:w="8926" w:type="dxa"/>
            <w:shd w:val="clear" w:color="auto" w:fill="808080" w:themeFill="background1" w:themeFillShade="80"/>
            <w:vAlign w:val="center"/>
          </w:tcPr>
          <w:p w:rsidR="00845E4D" w:rsidRPr="00845E4D" w:rsidRDefault="00845E4D" w:rsidP="00845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45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Consejería </w:t>
            </w:r>
            <w:r w:rsidR="004C02A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 Educación e Investigación</w:t>
            </w:r>
          </w:p>
          <w:p w:rsidR="00845E4D" w:rsidRPr="00845E4D" w:rsidRDefault="00845E4D" w:rsidP="00845E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yellow"/>
              </w:rPr>
            </w:pPr>
          </w:p>
        </w:tc>
      </w:tr>
      <w:tr w:rsidR="00845E4D" w:rsidTr="00845E4D">
        <w:trPr>
          <w:trHeight w:hRule="exact" w:val="312"/>
        </w:trPr>
        <w:tc>
          <w:tcPr>
            <w:tcW w:w="8926" w:type="dxa"/>
            <w:shd w:val="clear" w:color="auto" w:fill="D9D9D9" w:themeFill="background1" w:themeFillShade="D9"/>
          </w:tcPr>
          <w:p w:rsidR="00845E4D" w:rsidRPr="00845E4D" w:rsidRDefault="00845E4D" w:rsidP="00845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4D">
              <w:rPr>
                <w:rFonts w:ascii="Arial" w:hAnsi="Arial" w:cs="Arial"/>
                <w:sz w:val="24"/>
                <w:szCs w:val="24"/>
              </w:rPr>
              <w:t>Direcci</w:t>
            </w:r>
            <w:r w:rsidR="004C02AC">
              <w:rPr>
                <w:rFonts w:ascii="Arial" w:hAnsi="Arial" w:cs="Arial"/>
                <w:sz w:val="24"/>
                <w:szCs w:val="24"/>
              </w:rPr>
              <w:t>ón General de Becas y Ayudas al Estudio</w:t>
            </w:r>
          </w:p>
          <w:p w:rsidR="00845E4D" w:rsidRDefault="00845E4D" w:rsidP="00FF1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45E4D" w:rsidTr="00EC78F0">
        <w:trPr>
          <w:trHeight w:hRule="exact" w:val="402"/>
        </w:trPr>
        <w:tc>
          <w:tcPr>
            <w:tcW w:w="8926" w:type="dxa"/>
            <w:shd w:val="clear" w:color="auto" w:fill="BFBFBF" w:themeFill="background1" w:themeFillShade="BF"/>
            <w:vAlign w:val="center"/>
          </w:tcPr>
          <w:p w:rsidR="00845E4D" w:rsidRPr="00EC78F0" w:rsidRDefault="00845E4D" w:rsidP="004C02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F0">
              <w:rPr>
                <w:rFonts w:ascii="Arial" w:hAnsi="Arial" w:cs="Arial"/>
                <w:sz w:val="24"/>
                <w:szCs w:val="24"/>
              </w:rPr>
              <w:t>Consulta pública del anteproyecto/proyecto</w:t>
            </w:r>
          </w:p>
        </w:tc>
      </w:tr>
      <w:tr w:rsidR="00845E4D" w:rsidTr="00845E4D">
        <w:tc>
          <w:tcPr>
            <w:tcW w:w="8926" w:type="dxa"/>
          </w:tcPr>
          <w:p w:rsidR="00845E4D" w:rsidRDefault="00845E4D" w:rsidP="00845E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5E4D" w:rsidRDefault="00845E4D" w:rsidP="00845E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E4D">
              <w:rPr>
                <w:rFonts w:ascii="Arial" w:hAnsi="Arial" w:cs="Arial"/>
                <w:sz w:val="24"/>
                <w:szCs w:val="24"/>
              </w:rPr>
              <w:t xml:space="preserve">Proyecto de Decreto por el que se </w:t>
            </w:r>
            <w:r w:rsidR="00F934CE">
              <w:rPr>
                <w:rFonts w:ascii="Arial" w:hAnsi="Arial" w:cs="Arial"/>
                <w:sz w:val="24"/>
                <w:szCs w:val="24"/>
              </w:rPr>
              <w:t>regula el régimen de conciertos educativos en la Comunidad de Madrid</w:t>
            </w:r>
            <w:r w:rsidRPr="00845E4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5E4D" w:rsidRDefault="00845E4D" w:rsidP="00845E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45E4D" w:rsidTr="00EC78F0">
        <w:tc>
          <w:tcPr>
            <w:tcW w:w="8926" w:type="dxa"/>
            <w:shd w:val="clear" w:color="auto" w:fill="BFBFBF" w:themeFill="background1" w:themeFillShade="BF"/>
          </w:tcPr>
          <w:p w:rsidR="00845E4D" w:rsidRDefault="00845E4D" w:rsidP="00EC78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45E4D">
              <w:rPr>
                <w:rFonts w:ascii="Arial" w:hAnsi="Arial" w:cs="Arial"/>
                <w:sz w:val="24"/>
                <w:szCs w:val="24"/>
              </w:rPr>
              <w:t>Problemas que se pretenden solucionar</w:t>
            </w:r>
          </w:p>
        </w:tc>
      </w:tr>
      <w:tr w:rsidR="00845E4D" w:rsidTr="00845E4D">
        <w:tc>
          <w:tcPr>
            <w:tcW w:w="8926" w:type="dxa"/>
          </w:tcPr>
          <w:p w:rsidR="00375974" w:rsidRDefault="00375974" w:rsidP="003759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34CE" w:rsidRDefault="003558F9" w:rsidP="00C024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3558F9">
              <w:rPr>
                <w:rFonts w:ascii="Arial" w:hAnsi="Arial" w:cs="Arial"/>
                <w:sz w:val="24"/>
                <w:szCs w:val="24"/>
              </w:rPr>
              <w:t xml:space="preserve">Ley </w:t>
            </w:r>
            <w:r w:rsidR="00F934CE">
              <w:rPr>
                <w:rFonts w:ascii="Arial" w:hAnsi="Arial" w:cs="Arial"/>
                <w:sz w:val="24"/>
                <w:szCs w:val="24"/>
              </w:rPr>
              <w:t xml:space="preserve">8/1985, de 3 de julio, reguladora del Derecho a la Educación, </w:t>
            </w:r>
            <w:r w:rsidR="006B5D7A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F934CE">
              <w:rPr>
                <w:rFonts w:ascii="Arial" w:hAnsi="Arial" w:cs="Arial"/>
                <w:sz w:val="24"/>
                <w:szCs w:val="24"/>
              </w:rPr>
              <w:t>el Reglamento de Normas Básicas sobre Conciertos Educativos, aprobado el mismo año</w:t>
            </w:r>
            <w:r w:rsidR="006B5D7A">
              <w:rPr>
                <w:rFonts w:ascii="Arial" w:hAnsi="Arial" w:cs="Arial"/>
                <w:sz w:val="24"/>
                <w:szCs w:val="24"/>
              </w:rPr>
              <w:t xml:space="preserve"> en desarrollo de su </w:t>
            </w:r>
            <w:r w:rsidR="005E0A9B">
              <w:rPr>
                <w:rFonts w:ascii="Arial" w:hAnsi="Arial" w:cs="Arial"/>
                <w:sz w:val="24"/>
                <w:szCs w:val="24"/>
              </w:rPr>
              <w:t>Título IV</w:t>
            </w:r>
            <w:r w:rsidR="00F934C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B5D7A">
              <w:rPr>
                <w:rFonts w:ascii="Arial" w:hAnsi="Arial" w:cs="Arial"/>
                <w:sz w:val="24"/>
                <w:szCs w:val="24"/>
              </w:rPr>
              <w:t>así como</w:t>
            </w:r>
            <w:r w:rsidR="00F934CE">
              <w:rPr>
                <w:rFonts w:ascii="Arial" w:hAnsi="Arial" w:cs="Arial"/>
                <w:sz w:val="24"/>
                <w:szCs w:val="24"/>
              </w:rPr>
              <w:t xml:space="preserve"> la Ley Orgánica 2/2006, de 3 de mayo, de Educación</w:t>
            </w:r>
            <w:r w:rsidR="005E0A9B">
              <w:rPr>
                <w:rFonts w:ascii="Arial" w:hAnsi="Arial" w:cs="Arial"/>
                <w:sz w:val="24"/>
                <w:szCs w:val="24"/>
              </w:rPr>
              <w:t>, regulan los aspectos básicos del régimen de conciertos educativos con centros privados.</w:t>
            </w:r>
          </w:p>
          <w:p w:rsidR="00C02420" w:rsidRDefault="00C02420" w:rsidP="00C024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668D" w:rsidRDefault="006B5D7A" w:rsidP="00C024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</w:t>
            </w:r>
            <w:r w:rsidR="00C02420" w:rsidRPr="00375974">
              <w:rPr>
                <w:rFonts w:ascii="Arial" w:hAnsi="Arial" w:cs="Arial"/>
                <w:sz w:val="24"/>
                <w:szCs w:val="24"/>
              </w:rPr>
              <w:t xml:space="preserve"> Decreto </w:t>
            </w:r>
            <w:r>
              <w:rPr>
                <w:rFonts w:ascii="Arial" w:hAnsi="Arial" w:cs="Arial"/>
                <w:sz w:val="24"/>
                <w:szCs w:val="24"/>
              </w:rPr>
              <w:t xml:space="preserve">cuya tramitación se inicia </w:t>
            </w:r>
            <w:r w:rsidR="00C02420" w:rsidRPr="00375974">
              <w:rPr>
                <w:rFonts w:ascii="Arial" w:hAnsi="Arial" w:cs="Arial"/>
                <w:sz w:val="24"/>
                <w:szCs w:val="24"/>
              </w:rPr>
              <w:t xml:space="preserve">pretende </w:t>
            </w:r>
            <w:r>
              <w:rPr>
                <w:rFonts w:ascii="Arial" w:hAnsi="Arial" w:cs="Arial"/>
                <w:sz w:val="24"/>
                <w:szCs w:val="24"/>
              </w:rPr>
              <w:t>desarrollar reglamentariamente</w:t>
            </w:r>
            <w:r w:rsidR="00C02420" w:rsidRPr="00375974">
              <w:rPr>
                <w:rFonts w:ascii="Arial" w:hAnsi="Arial" w:cs="Arial"/>
                <w:sz w:val="24"/>
                <w:szCs w:val="24"/>
              </w:rPr>
              <w:t xml:space="preserve"> las previsiones</w:t>
            </w:r>
            <w:r w:rsidR="00C02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2420" w:rsidRPr="00375974">
              <w:rPr>
                <w:rFonts w:ascii="Arial" w:hAnsi="Arial" w:cs="Arial"/>
                <w:sz w:val="24"/>
                <w:szCs w:val="24"/>
              </w:rPr>
              <w:t>contenid</w:t>
            </w:r>
            <w:r w:rsidR="00F20462">
              <w:rPr>
                <w:rFonts w:ascii="Arial" w:hAnsi="Arial" w:cs="Arial"/>
                <w:sz w:val="24"/>
                <w:szCs w:val="24"/>
              </w:rPr>
              <w:t xml:space="preserve">as en </w:t>
            </w:r>
            <w:r>
              <w:rPr>
                <w:rFonts w:ascii="Arial" w:hAnsi="Arial" w:cs="Arial"/>
                <w:sz w:val="24"/>
                <w:szCs w:val="24"/>
              </w:rPr>
              <w:t xml:space="preserve">las normas anteriores, </w:t>
            </w:r>
            <w:r w:rsidR="00AF668D">
              <w:rPr>
                <w:rFonts w:ascii="Arial" w:hAnsi="Arial" w:cs="Arial"/>
                <w:sz w:val="24"/>
                <w:szCs w:val="24"/>
              </w:rPr>
              <w:t>al amparo de la habilitació</w:t>
            </w:r>
            <w:r>
              <w:rPr>
                <w:rFonts w:ascii="Arial" w:hAnsi="Arial" w:cs="Arial"/>
                <w:sz w:val="24"/>
                <w:szCs w:val="24"/>
              </w:rPr>
              <w:t>n recogida en el art</w:t>
            </w:r>
            <w:r w:rsidR="00AF668D">
              <w:rPr>
                <w:rFonts w:ascii="Arial" w:hAnsi="Arial" w:cs="Arial"/>
                <w:sz w:val="24"/>
                <w:szCs w:val="24"/>
              </w:rPr>
              <w:t>ículo 116.4 de la Ley Orgánica de Educación.</w:t>
            </w:r>
          </w:p>
          <w:p w:rsidR="00845E4D" w:rsidRPr="00845E4D" w:rsidRDefault="00845E4D" w:rsidP="00AF66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8F9" w:rsidTr="00EC78F0">
        <w:tc>
          <w:tcPr>
            <w:tcW w:w="8926" w:type="dxa"/>
            <w:shd w:val="clear" w:color="auto" w:fill="BFBFBF" w:themeFill="background1" w:themeFillShade="BF"/>
          </w:tcPr>
          <w:p w:rsidR="003558F9" w:rsidRDefault="003558F9" w:rsidP="00EC78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558F9">
              <w:rPr>
                <w:rFonts w:ascii="Arial" w:hAnsi="Arial" w:cs="Arial"/>
                <w:sz w:val="24"/>
                <w:szCs w:val="24"/>
              </w:rPr>
              <w:t>Necesidad y oportunidad de la norma</w:t>
            </w:r>
          </w:p>
        </w:tc>
      </w:tr>
      <w:tr w:rsidR="00845E4D" w:rsidTr="00845E4D">
        <w:tc>
          <w:tcPr>
            <w:tcW w:w="8926" w:type="dxa"/>
          </w:tcPr>
          <w:p w:rsidR="007700EE" w:rsidRDefault="007700EE" w:rsidP="007700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5412" w:rsidRDefault="00635412" w:rsidP="00635412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412">
              <w:rPr>
                <w:rFonts w:ascii="Arial" w:hAnsi="Arial" w:cs="Arial"/>
                <w:sz w:val="24"/>
                <w:szCs w:val="24"/>
              </w:rPr>
              <w:t>La Comunidad de Madrid no dispone, a día de hoy, de una norma propia, de rango reglamentario</w:t>
            </w:r>
            <w:r>
              <w:rPr>
                <w:rFonts w:ascii="Arial" w:hAnsi="Arial" w:cs="Arial"/>
                <w:sz w:val="24"/>
                <w:szCs w:val="24"/>
              </w:rPr>
              <w:t>, reguladora del régimen de conciertos</w:t>
            </w:r>
            <w:r w:rsidRPr="0063541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35412" w:rsidRPr="00635412" w:rsidRDefault="00635412" w:rsidP="00635412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412">
              <w:rPr>
                <w:rFonts w:ascii="Arial" w:hAnsi="Arial" w:cs="Arial"/>
                <w:sz w:val="24"/>
                <w:szCs w:val="24"/>
              </w:rPr>
              <w:t>Trans</w:t>
            </w:r>
            <w:r>
              <w:rPr>
                <w:rFonts w:ascii="Arial" w:hAnsi="Arial" w:cs="Arial"/>
                <w:sz w:val="24"/>
                <w:szCs w:val="24"/>
              </w:rPr>
              <w:t>curridos más de 30 años desde su</w:t>
            </w:r>
            <w:r w:rsidRPr="00635412">
              <w:rPr>
                <w:rFonts w:ascii="Arial" w:hAnsi="Arial" w:cs="Arial"/>
                <w:sz w:val="24"/>
                <w:szCs w:val="24"/>
              </w:rPr>
              <w:t xml:space="preserve"> establecimiento </w:t>
            </w:r>
            <w:r>
              <w:rPr>
                <w:rFonts w:ascii="Arial" w:hAnsi="Arial" w:cs="Arial"/>
                <w:sz w:val="24"/>
                <w:szCs w:val="24"/>
              </w:rPr>
              <w:t>por la Ley Orgánica reguladora del Derecho a la Educación</w:t>
            </w:r>
            <w:r w:rsidRPr="00635412">
              <w:rPr>
                <w:rFonts w:ascii="Arial" w:hAnsi="Arial" w:cs="Arial"/>
                <w:sz w:val="24"/>
                <w:szCs w:val="24"/>
              </w:rPr>
              <w:t xml:space="preserve">, la aprobación de dicha norma </w:t>
            </w:r>
            <w:r>
              <w:rPr>
                <w:rFonts w:ascii="Arial" w:hAnsi="Arial" w:cs="Arial"/>
                <w:sz w:val="24"/>
                <w:szCs w:val="24"/>
              </w:rPr>
              <w:t>resulta d</w:t>
            </w:r>
            <w:r w:rsidRPr="00635412">
              <w:rPr>
                <w:rFonts w:ascii="Arial" w:hAnsi="Arial" w:cs="Arial"/>
                <w:sz w:val="24"/>
                <w:szCs w:val="24"/>
              </w:rPr>
              <w:t xml:space="preserve">el todo justificada, máxime cuando se hace necesario no sólo concretar diversos aspectos de la regulación que establece el </w:t>
            </w:r>
            <w:r>
              <w:rPr>
                <w:rFonts w:ascii="Arial" w:hAnsi="Arial" w:cs="Arial"/>
                <w:sz w:val="24"/>
                <w:szCs w:val="24"/>
              </w:rPr>
              <w:t>Reglamento de Normas Básicas</w:t>
            </w:r>
            <w:r w:rsidRPr="00635412">
              <w:rPr>
                <w:rFonts w:ascii="Arial" w:hAnsi="Arial" w:cs="Arial"/>
                <w:sz w:val="24"/>
                <w:szCs w:val="24"/>
              </w:rPr>
              <w:t xml:space="preserve">, sino, también, adecuarla a las </w:t>
            </w:r>
            <w:r>
              <w:rPr>
                <w:rFonts w:ascii="Arial" w:hAnsi="Arial" w:cs="Arial"/>
                <w:sz w:val="24"/>
                <w:szCs w:val="24"/>
              </w:rPr>
              <w:t>novedade</w:t>
            </w:r>
            <w:r w:rsidRPr="00635412">
              <w:rPr>
                <w:rFonts w:ascii="Arial" w:hAnsi="Arial" w:cs="Arial"/>
                <w:sz w:val="24"/>
                <w:szCs w:val="24"/>
              </w:rPr>
              <w:t>s que desde 1985 han introducido en el régimen de conciertos las sucesivas leyes orgánicas de educación.</w:t>
            </w:r>
          </w:p>
          <w:p w:rsidR="007700EE" w:rsidRDefault="007700EE" w:rsidP="007700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700EE" w:rsidTr="00EC78F0">
        <w:tc>
          <w:tcPr>
            <w:tcW w:w="8926" w:type="dxa"/>
            <w:shd w:val="clear" w:color="auto" w:fill="BFBFBF" w:themeFill="background1" w:themeFillShade="BF"/>
          </w:tcPr>
          <w:p w:rsidR="007700EE" w:rsidRDefault="007700EE" w:rsidP="00EC78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845E4D" w:rsidTr="00845E4D">
        <w:tc>
          <w:tcPr>
            <w:tcW w:w="8926" w:type="dxa"/>
          </w:tcPr>
          <w:p w:rsidR="004467F9" w:rsidRDefault="004467F9" w:rsidP="007700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67F9" w:rsidRPr="007700EE" w:rsidRDefault="007700EE" w:rsidP="004467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0EE">
              <w:rPr>
                <w:rFonts w:ascii="Arial" w:hAnsi="Arial" w:cs="Arial"/>
                <w:sz w:val="24"/>
                <w:szCs w:val="24"/>
              </w:rPr>
              <w:lastRenderedPageBreak/>
              <w:t>Desarrollo reglamentario de l</w:t>
            </w:r>
            <w:r w:rsidR="00635412">
              <w:rPr>
                <w:rFonts w:ascii="Arial" w:hAnsi="Arial" w:cs="Arial"/>
                <w:sz w:val="24"/>
                <w:szCs w:val="24"/>
              </w:rPr>
              <w:t xml:space="preserve">as previsiones contenidas en la </w:t>
            </w:r>
            <w:r w:rsidR="00635412" w:rsidRPr="003558F9">
              <w:rPr>
                <w:rFonts w:ascii="Arial" w:hAnsi="Arial" w:cs="Arial"/>
                <w:sz w:val="24"/>
                <w:szCs w:val="24"/>
              </w:rPr>
              <w:t xml:space="preserve">Ley </w:t>
            </w:r>
            <w:r w:rsidR="00635412">
              <w:rPr>
                <w:rFonts w:ascii="Arial" w:hAnsi="Arial" w:cs="Arial"/>
                <w:sz w:val="24"/>
                <w:szCs w:val="24"/>
              </w:rPr>
              <w:t>8/1985, de 3 de julio, reguladora del Derecho a la Educación, el Reglamento de Normas Básicas sobre Conciertos Educativos, y la Ley Orgánica 2/2006, de 3 de mayo, de Educación,</w:t>
            </w:r>
          </w:p>
          <w:p w:rsidR="00635412" w:rsidRDefault="00635412" w:rsidP="007700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00EE" w:rsidRDefault="00635412" w:rsidP="007700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 de regularse, por ejemplo, cuestiones como</w:t>
            </w:r>
            <w:r w:rsidR="007700EE" w:rsidRPr="007700E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35412" w:rsidRPr="00B666A5" w:rsidRDefault="00635412" w:rsidP="00635412">
            <w:pPr>
              <w:pStyle w:val="Prrafodelista"/>
              <w:numPr>
                <w:ilvl w:val="0"/>
                <w:numId w:val="10"/>
              </w:num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6A5">
              <w:rPr>
                <w:rFonts w:ascii="Arial" w:hAnsi="Arial" w:cs="Arial"/>
                <w:sz w:val="24"/>
                <w:szCs w:val="24"/>
              </w:rPr>
              <w:t xml:space="preserve">Concretar la vigencia de los conciertos educativos </w:t>
            </w:r>
          </w:p>
          <w:p w:rsidR="00635412" w:rsidRPr="00B666A5" w:rsidRDefault="00635412" w:rsidP="00635412">
            <w:pPr>
              <w:pStyle w:val="Prrafodelista"/>
              <w:numPr>
                <w:ilvl w:val="0"/>
                <w:numId w:val="10"/>
              </w:num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6A5">
              <w:rPr>
                <w:rFonts w:ascii="Arial" w:hAnsi="Arial" w:cs="Arial"/>
                <w:sz w:val="24"/>
                <w:szCs w:val="24"/>
              </w:rPr>
              <w:t>Ejecución de los conciertos</w:t>
            </w:r>
          </w:p>
          <w:p w:rsidR="00635412" w:rsidRPr="00B666A5" w:rsidRDefault="00635412" w:rsidP="00B666A5">
            <w:pPr>
              <w:pStyle w:val="Prrafodelista"/>
              <w:numPr>
                <w:ilvl w:val="0"/>
                <w:numId w:val="10"/>
              </w:num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6A5">
              <w:rPr>
                <w:rFonts w:ascii="Arial" w:hAnsi="Arial" w:cs="Arial"/>
                <w:sz w:val="24"/>
                <w:szCs w:val="24"/>
              </w:rPr>
              <w:t>Adecuar el calendario y la gestión de los procedimientos anuales de concertación a las necesidades actuales de la Comunidad de Madrid, en coherencia, por ejemplo, con las fechas en que se desar</w:t>
            </w:r>
            <w:r w:rsidR="00B666A5" w:rsidRPr="00B666A5">
              <w:rPr>
                <w:rFonts w:ascii="Arial" w:hAnsi="Arial" w:cs="Arial"/>
                <w:sz w:val="24"/>
                <w:szCs w:val="24"/>
              </w:rPr>
              <w:t>rollan los procesos de admisión</w:t>
            </w:r>
            <w:r w:rsidRPr="00B666A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35412" w:rsidRPr="00B666A5" w:rsidRDefault="00635412" w:rsidP="00635412">
            <w:pPr>
              <w:pStyle w:val="Prrafodelista"/>
              <w:numPr>
                <w:ilvl w:val="0"/>
                <w:numId w:val="10"/>
              </w:num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6A5">
              <w:rPr>
                <w:rFonts w:ascii="Arial" w:hAnsi="Arial" w:cs="Arial"/>
                <w:sz w:val="24"/>
                <w:szCs w:val="24"/>
              </w:rPr>
              <w:t xml:space="preserve">Régimen </w:t>
            </w:r>
            <w:r w:rsidR="00B666A5" w:rsidRPr="00B666A5">
              <w:rPr>
                <w:rFonts w:ascii="Arial" w:hAnsi="Arial" w:cs="Arial"/>
                <w:sz w:val="24"/>
                <w:szCs w:val="24"/>
              </w:rPr>
              <w:t xml:space="preserve">de funcionamiento </w:t>
            </w:r>
            <w:r w:rsidRPr="00B666A5">
              <w:rPr>
                <w:rFonts w:ascii="Arial" w:hAnsi="Arial" w:cs="Arial"/>
                <w:sz w:val="24"/>
                <w:szCs w:val="24"/>
              </w:rPr>
              <w:t>de las comisiones de conciliación</w:t>
            </w:r>
          </w:p>
          <w:p w:rsidR="00F42051" w:rsidRDefault="00F42051" w:rsidP="007700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78F0" w:rsidRDefault="00B666A5" w:rsidP="00B666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perjuicio de ello, se pretende también destacar la importancia de la programación de la enseñanza, en cuanto que instrumento para garantizar el derecho a la educación básica y gratuita y posibilitar la libertad de elección de centro docente para las familias; del compromiso social que asume el titular del centro concertado en orden a la prestación del servicio de interés público de la educación; o, por ejemplo, del carácter específico de la naturaleza jurídica del concierto.</w:t>
            </w:r>
          </w:p>
          <w:p w:rsidR="00B666A5" w:rsidRDefault="00B666A5" w:rsidP="00B666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02420" w:rsidTr="00EC78F0">
        <w:tc>
          <w:tcPr>
            <w:tcW w:w="8926" w:type="dxa"/>
            <w:shd w:val="clear" w:color="auto" w:fill="BFBFBF" w:themeFill="background1" w:themeFillShade="BF"/>
          </w:tcPr>
          <w:p w:rsidR="00C02420" w:rsidRDefault="00C02420" w:rsidP="00EC78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Posible soluciones alternativas</w:t>
            </w:r>
          </w:p>
        </w:tc>
      </w:tr>
      <w:tr w:rsidR="00C02420" w:rsidTr="00845E4D">
        <w:tc>
          <w:tcPr>
            <w:tcW w:w="8926" w:type="dxa"/>
          </w:tcPr>
          <w:p w:rsidR="00C02420" w:rsidRDefault="00C02420" w:rsidP="00EC78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6217" w:rsidRDefault="00C02420" w:rsidP="00EC78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proceden soluciones alternativas, ya que la propia Ley remite al desarrollo</w:t>
            </w:r>
            <w:r w:rsidR="00EC78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reglamentario </w:t>
            </w:r>
            <w:r w:rsidR="00B666A5">
              <w:rPr>
                <w:rFonts w:ascii="Arial" w:hAnsi="Arial" w:cs="Arial"/>
                <w:sz w:val="24"/>
                <w:szCs w:val="24"/>
              </w:rPr>
              <w:t xml:space="preserve">por las Comunidades Autónomas </w:t>
            </w:r>
            <w:r>
              <w:rPr>
                <w:rFonts w:ascii="Arial" w:hAnsi="Arial" w:cs="Arial"/>
                <w:sz w:val="24"/>
                <w:szCs w:val="24"/>
              </w:rPr>
              <w:t>la regulación de determinadas materias</w:t>
            </w:r>
            <w:r w:rsidR="00B666A5">
              <w:rPr>
                <w:rFonts w:ascii="Arial" w:hAnsi="Arial" w:cs="Arial"/>
                <w:sz w:val="24"/>
                <w:szCs w:val="24"/>
              </w:rPr>
              <w:t xml:space="preserve"> del régimen de conciertos</w:t>
            </w:r>
            <w:r w:rsidR="00041C3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02420" w:rsidRDefault="00C02420" w:rsidP="00041C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02420" w:rsidTr="00845E4D">
        <w:tc>
          <w:tcPr>
            <w:tcW w:w="8926" w:type="dxa"/>
          </w:tcPr>
          <w:p w:rsidR="00EC78F0" w:rsidRDefault="00EC78F0" w:rsidP="00FF1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2420" w:rsidRDefault="00C02420" w:rsidP="00FF1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20">
              <w:rPr>
                <w:rFonts w:ascii="Arial" w:hAnsi="Arial" w:cs="Arial"/>
                <w:sz w:val="24"/>
                <w:szCs w:val="24"/>
              </w:rPr>
              <w:t>Firma: EL DIRECTOR GENERAL DE BECAS Y AYUDAS AL ESTUDIO</w:t>
            </w:r>
          </w:p>
          <w:p w:rsidR="00C02420" w:rsidRDefault="00C02420" w:rsidP="00FF1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2420" w:rsidRDefault="00C02420" w:rsidP="00FF1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78F0" w:rsidRDefault="00EC78F0" w:rsidP="00FF1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78F0" w:rsidRDefault="00EC78F0" w:rsidP="00FF1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2420" w:rsidRPr="00C02420" w:rsidRDefault="00C02420" w:rsidP="00FF1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E4D" w:rsidRDefault="00845E4D" w:rsidP="00FF1F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C3519" w:rsidRDefault="000C3519" w:rsidP="00FF1F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561ED" w:rsidRPr="00F561ED" w:rsidRDefault="00F561ED" w:rsidP="00FF1F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F561ED" w:rsidRDefault="00F561ED" w:rsidP="00FF1F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845325" w:rsidRDefault="00845325" w:rsidP="008453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2275B" w:rsidRDefault="00D2275B" w:rsidP="008453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2275B" w:rsidRDefault="00D2275B" w:rsidP="00FF1F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C19E8" w:rsidRDefault="001C19E8" w:rsidP="00FF1F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10EA8" w:rsidRDefault="00710EA8" w:rsidP="00FF1F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710EA8" w:rsidSect="00963480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B4" w:rsidRDefault="007F0DB4" w:rsidP="00963480">
      <w:pPr>
        <w:spacing w:after="0" w:line="240" w:lineRule="auto"/>
      </w:pPr>
      <w:r>
        <w:separator/>
      </w:r>
    </w:p>
  </w:endnote>
  <w:endnote w:type="continuationSeparator" w:id="0">
    <w:p w:rsidR="007F0DB4" w:rsidRDefault="007F0DB4" w:rsidP="0096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522515"/>
      <w:docPartObj>
        <w:docPartGallery w:val="Page Numbers (Bottom of Page)"/>
        <w:docPartUnique/>
      </w:docPartObj>
    </w:sdtPr>
    <w:sdtEndPr/>
    <w:sdtContent>
      <w:p w:rsidR="00291509" w:rsidRDefault="001E7113">
        <w:pPr>
          <w:pStyle w:val="Piedepgina"/>
          <w:jc w:val="center"/>
        </w:pPr>
        <w:r>
          <w:fldChar w:fldCharType="begin"/>
        </w:r>
        <w:r w:rsidR="00494141">
          <w:instrText>PAGE   \* MERGEFORMAT</w:instrText>
        </w:r>
        <w:r>
          <w:fldChar w:fldCharType="separate"/>
        </w:r>
        <w:r w:rsidR="00B52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1509" w:rsidRDefault="00291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B4" w:rsidRDefault="007F0DB4" w:rsidP="00963480">
      <w:pPr>
        <w:spacing w:after="0" w:line="240" w:lineRule="auto"/>
      </w:pPr>
      <w:r>
        <w:separator/>
      </w:r>
    </w:p>
  </w:footnote>
  <w:footnote w:type="continuationSeparator" w:id="0">
    <w:p w:rsidR="007F0DB4" w:rsidRDefault="007F0DB4" w:rsidP="0096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53" w:rsidRPr="00141153" w:rsidRDefault="00141153" w:rsidP="00141153">
    <w:pPr>
      <w:pStyle w:val="Encabezado"/>
    </w:pPr>
    <w:r w:rsidRPr="00141153">
      <w:rPr>
        <w:noProof/>
      </w:rPr>
      <w:drawing>
        <wp:inline distT="0" distB="0" distL="0" distR="0">
          <wp:extent cx="2297360" cy="601493"/>
          <wp:effectExtent l="0" t="0" r="8255" b="8255"/>
          <wp:docPr id="2" name="Imagen 2" descr="\\Edu\edu\ALCAL032\GRP\GESTEA-DGUI\1 - BECAS\LOGOS\LOGO_DGBAE_IZQUIER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Edu\edu\ALCAL032\GRP\GESTEA-DGUI\1 - BECAS\LOGOS\LOGO_DGBAE_IZQUIER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545" cy="620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864"/>
    <w:multiLevelType w:val="hybridMultilevel"/>
    <w:tmpl w:val="C45C79F4"/>
    <w:lvl w:ilvl="0" w:tplc="AD60BC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D4D"/>
    <w:multiLevelType w:val="hybridMultilevel"/>
    <w:tmpl w:val="4A12F486"/>
    <w:lvl w:ilvl="0" w:tplc="CDFA8C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422"/>
    <w:multiLevelType w:val="multilevel"/>
    <w:tmpl w:val="1FC2B5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BC0A97"/>
    <w:multiLevelType w:val="hybridMultilevel"/>
    <w:tmpl w:val="DF569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7363"/>
    <w:multiLevelType w:val="hybridMultilevel"/>
    <w:tmpl w:val="7E96DCAC"/>
    <w:lvl w:ilvl="0" w:tplc="532E9A8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5FE6"/>
    <w:multiLevelType w:val="hybridMultilevel"/>
    <w:tmpl w:val="513CC518"/>
    <w:lvl w:ilvl="0" w:tplc="45948F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21250"/>
    <w:multiLevelType w:val="hybridMultilevel"/>
    <w:tmpl w:val="CDCA63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16CC6"/>
    <w:multiLevelType w:val="multilevel"/>
    <w:tmpl w:val="1B2E0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20F5C51"/>
    <w:multiLevelType w:val="hybridMultilevel"/>
    <w:tmpl w:val="E16C6E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B24E1"/>
    <w:multiLevelType w:val="hybridMultilevel"/>
    <w:tmpl w:val="F95020D8"/>
    <w:lvl w:ilvl="0" w:tplc="251048A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05"/>
    <w:rsid w:val="00000922"/>
    <w:rsid w:val="00002315"/>
    <w:rsid w:val="0000569D"/>
    <w:rsid w:val="000114ED"/>
    <w:rsid w:val="000135C3"/>
    <w:rsid w:val="00024A30"/>
    <w:rsid w:val="00041C38"/>
    <w:rsid w:val="00041EDC"/>
    <w:rsid w:val="00042EF1"/>
    <w:rsid w:val="0004304C"/>
    <w:rsid w:val="000512AE"/>
    <w:rsid w:val="000536B4"/>
    <w:rsid w:val="0005433C"/>
    <w:rsid w:val="000601FB"/>
    <w:rsid w:val="00060D37"/>
    <w:rsid w:val="000A4236"/>
    <w:rsid w:val="000A433C"/>
    <w:rsid w:val="000B070E"/>
    <w:rsid w:val="000B3DDB"/>
    <w:rsid w:val="000C3519"/>
    <w:rsid w:val="000D253F"/>
    <w:rsid w:val="000D4DB6"/>
    <w:rsid w:val="00113696"/>
    <w:rsid w:val="00125C95"/>
    <w:rsid w:val="00141153"/>
    <w:rsid w:val="00175B52"/>
    <w:rsid w:val="00176FBA"/>
    <w:rsid w:val="001A0988"/>
    <w:rsid w:val="001C19E8"/>
    <w:rsid w:val="001C7DDA"/>
    <w:rsid w:val="001D21A0"/>
    <w:rsid w:val="001E7113"/>
    <w:rsid w:val="001F250D"/>
    <w:rsid w:val="00202E40"/>
    <w:rsid w:val="0020362E"/>
    <w:rsid w:val="00220532"/>
    <w:rsid w:val="00222231"/>
    <w:rsid w:val="0023009E"/>
    <w:rsid w:val="00235192"/>
    <w:rsid w:val="00243123"/>
    <w:rsid w:val="00261E1A"/>
    <w:rsid w:val="002861BF"/>
    <w:rsid w:val="00291509"/>
    <w:rsid w:val="00294883"/>
    <w:rsid w:val="002A5AC3"/>
    <w:rsid w:val="002A63DD"/>
    <w:rsid w:val="002B5AAC"/>
    <w:rsid w:val="002B7534"/>
    <w:rsid w:val="002C3ED2"/>
    <w:rsid w:val="002C6EF2"/>
    <w:rsid w:val="002F10CB"/>
    <w:rsid w:val="00300A7E"/>
    <w:rsid w:val="0032420B"/>
    <w:rsid w:val="003310A8"/>
    <w:rsid w:val="00341BD2"/>
    <w:rsid w:val="00352088"/>
    <w:rsid w:val="003558F9"/>
    <w:rsid w:val="00357E55"/>
    <w:rsid w:val="0037000B"/>
    <w:rsid w:val="00375974"/>
    <w:rsid w:val="003761A5"/>
    <w:rsid w:val="003B22D7"/>
    <w:rsid w:val="003D02EF"/>
    <w:rsid w:val="003D305A"/>
    <w:rsid w:val="003D3875"/>
    <w:rsid w:val="003D5766"/>
    <w:rsid w:val="00400F42"/>
    <w:rsid w:val="00405ABC"/>
    <w:rsid w:val="004111A7"/>
    <w:rsid w:val="0041539E"/>
    <w:rsid w:val="00426F07"/>
    <w:rsid w:val="00433896"/>
    <w:rsid w:val="004341DD"/>
    <w:rsid w:val="00437B87"/>
    <w:rsid w:val="00440B0D"/>
    <w:rsid w:val="00446597"/>
    <w:rsid w:val="004467F9"/>
    <w:rsid w:val="00453FCB"/>
    <w:rsid w:val="004704D1"/>
    <w:rsid w:val="00482E6C"/>
    <w:rsid w:val="0048395A"/>
    <w:rsid w:val="00492BAC"/>
    <w:rsid w:val="00494141"/>
    <w:rsid w:val="00495F9A"/>
    <w:rsid w:val="0049764A"/>
    <w:rsid w:val="004C02AC"/>
    <w:rsid w:val="004D0E88"/>
    <w:rsid w:val="00531675"/>
    <w:rsid w:val="0054252E"/>
    <w:rsid w:val="00550F83"/>
    <w:rsid w:val="005627D8"/>
    <w:rsid w:val="005810A8"/>
    <w:rsid w:val="005866B7"/>
    <w:rsid w:val="00590D35"/>
    <w:rsid w:val="005B0D81"/>
    <w:rsid w:val="005B4AF5"/>
    <w:rsid w:val="005B5235"/>
    <w:rsid w:val="005B64DD"/>
    <w:rsid w:val="005E0A9B"/>
    <w:rsid w:val="00613ED5"/>
    <w:rsid w:val="00635412"/>
    <w:rsid w:val="0064461F"/>
    <w:rsid w:val="00670A8A"/>
    <w:rsid w:val="00695F36"/>
    <w:rsid w:val="006B433D"/>
    <w:rsid w:val="006B5D7A"/>
    <w:rsid w:val="006C0A3E"/>
    <w:rsid w:val="006C0FE8"/>
    <w:rsid w:val="006C5BE9"/>
    <w:rsid w:val="006F5A08"/>
    <w:rsid w:val="006F68F8"/>
    <w:rsid w:val="00710EA8"/>
    <w:rsid w:val="00716212"/>
    <w:rsid w:val="0073697D"/>
    <w:rsid w:val="00762933"/>
    <w:rsid w:val="00763E4D"/>
    <w:rsid w:val="007700EE"/>
    <w:rsid w:val="00772ABC"/>
    <w:rsid w:val="007815C6"/>
    <w:rsid w:val="00782A48"/>
    <w:rsid w:val="00784882"/>
    <w:rsid w:val="007A60F9"/>
    <w:rsid w:val="007A6AAD"/>
    <w:rsid w:val="007C1EF6"/>
    <w:rsid w:val="007C54EC"/>
    <w:rsid w:val="007D3C37"/>
    <w:rsid w:val="007D5890"/>
    <w:rsid w:val="007E55D9"/>
    <w:rsid w:val="007E5755"/>
    <w:rsid w:val="007E599C"/>
    <w:rsid w:val="007E6217"/>
    <w:rsid w:val="007F0DB4"/>
    <w:rsid w:val="007F39E8"/>
    <w:rsid w:val="007F409F"/>
    <w:rsid w:val="007F6DC9"/>
    <w:rsid w:val="00803CDA"/>
    <w:rsid w:val="008104D5"/>
    <w:rsid w:val="008174C1"/>
    <w:rsid w:val="00817813"/>
    <w:rsid w:val="00823707"/>
    <w:rsid w:val="00827659"/>
    <w:rsid w:val="00845325"/>
    <w:rsid w:val="00845E4D"/>
    <w:rsid w:val="00851104"/>
    <w:rsid w:val="008619BC"/>
    <w:rsid w:val="00863764"/>
    <w:rsid w:val="00864F07"/>
    <w:rsid w:val="008662CF"/>
    <w:rsid w:val="00873FCD"/>
    <w:rsid w:val="008750E3"/>
    <w:rsid w:val="008A3D78"/>
    <w:rsid w:val="008A406B"/>
    <w:rsid w:val="008C40BB"/>
    <w:rsid w:val="008D5170"/>
    <w:rsid w:val="008E4290"/>
    <w:rsid w:val="008F242F"/>
    <w:rsid w:val="008F7032"/>
    <w:rsid w:val="00900FFC"/>
    <w:rsid w:val="0092747D"/>
    <w:rsid w:val="009276D3"/>
    <w:rsid w:val="0094777F"/>
    <w:rsid w:val="00950560"/>
    <w:rsid w:val="00963480"/>
    <w:rsid w:val="00990CCC"/>
    <w:rsid w:val="009A0E00"/>
    <w:rsid w:val="009B162F"/>
    <w:rsid w:val="009C350F"/>
    <w:rsid w:val="009C3A05"/>
    <w:rsid w:val="009C73B5"/>
    <w:rsid w:val="009D78CE"/>
    <w:rsid w:val="009F0A3F"/>
    <w:rsid w:val="009F6372"/>
    <w:rsid w:val="00A00193"/>
    <w:rsid w:val="00A45004"/>
    <w:rsid w:val="00A61229"/>
    <w:rsid w:val="00A90736"/>
    <w:rsid w:val="00A93152"/>
    <w:rsid w:val="00A93BDD"/>
    <w:rsid w:val="00A9485D"/>
    <w:rsid w:val="00AA148F"/>
    <w:rsid w:val="00AA546D"/>
    <w:rsid w:val="00AB1042"/>
    <w:rsid w:val="00AD48E6"/>
    <w:rsid w:val="00AE1B86"/>
    <w:rsid w:val="00AE2E3B"/>
    <w:rsid w:val="00AE54A3"/>
    <w:rsid w:val="00AF3121"/>
    <w:rsid w:val="00AF668D"/>
    <w:rsid w:val="00B00127"/>
    <w:rsid w:val="00B13D85"/>
    <w:rsid w:val="00B228DB"/>
    <w:rsid w:val="00B26455"/>
    <w:rsid w:val="00B527D8"/>
    <w:rsid w:val="00B565A4"/>
    <w:rsid w:val="00B63204"/>
    <w:rsid w:val="00B666A5"/>
    <w:rsid w:val="00B87CEA"/>
    <w:rsid w:val="00B9126E"/>
    <w:rsid w:val="00BB0B09"/>
    <w:rsid w:val="00BB7165"/>
    <w:rsid w:val="00BC362B"/>
    <w:rsid w:val="00BE587A"/>
    <w:rsid w:val="00C02420"/>
    <w:rsid w:val="00C03F52"/>
    <w:rsid w:val="00C1147F"/>
    <w:rsid w:val="00C219B2"/>
    <w:rsid w:val="00C26B2E"/>
    <w:rsid w:val="00C3176F"/>
    <w:rsid w:val="00C32A45"/>
    <w:rsid w:val="00C47DE4"/>
    <w:rsid w:val="00C76A89"/>
    <w:rsid w:val="00CC104F"/>
    <w:rsid w:val="00CC1EA5"/>
    <w:rsid w:val="00CE2BA8"/>
    <w:rsid w:val="00CF1D8B"/>
    <w:rsid w:val="00CF58B3"/>
    <w:rsid w:val="00D03141"/>
    <w:rsid w:val="00D1406C"/>
    <w:rsid w:val="00D20F4A"/>
    <w:rsid w:val="00D2275B"/>
    <w:rsid w:val="00D40571"/>
    <w:rsid w:val="00D57B23"/>
    <w:rsid w:val="00D86C38"/>
    <w:rsid w:val="00DB1DB1"/>
    <w:rsid w:val="00DB62E2"/>
    <w:rsid w:val="00DE0E1E"/>
    <w:rsid w:val="00E11528"/>
    <w:rsid w:val="00E174D8"/>
    <w:rsid w:val="00E344CB"/>
    <w:rsid w:val="00E45860"/>
    <w:rsid w:val="00E4644D"/>
    <w:rsid w:val="00E57583"/>
    <w:rsid w:val="00E576CA"/>
    <w:rsid w:val="00EA3C69"/>
    <w:rsid w:val="00EB42A2"/>
    <w:rsid w:val="00EC78F0"/>
    <w:rsid w:val="00ED5E6B"/>
    <w:rsid w:val="00EE18BB"/>
    <w:rsid w:val="00F20462"/>
    <w:rsid w:val="00F22912"/>
    <w:rsid w:val="00F241E2"/>
    <w:rsid w:val="00F268C0"/>
    <w:rsid w:val="00F320FF"/>
    <w:rsid w:val="00F33F81"/>
    <w:rsid w:val="00F34AF3"/>
    <w:rsid w:val="00F42051"/>
    <w:rsid w:val="00F561ED"/>
    <w:rsid w:val="00F63723"/>
    <w:rsid w:val="00F73C65"/>
    <w:rsid w:val="00F81A6B"/>
    <w:rsid w:val="00F874C3"/>
    <w:rsid w:val="00F934CE"/>
    <w:rsid w:val="00FB23A7"/>
    <w:rsid w:val="00FB6486"/>
    <w:rsid w:val="00FD5342"/>
    <w:rsid w:val="00FF1F9A"/>
    <w:rsid w:val="00FF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5:docId w15:val="{ED1B9574-10FF-44D9-A3B2-20B69E85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0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5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86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565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3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480"/>
  </w:style>
  <w:style w:type="paragraph" w:styleId="Piedepgina">
    <w:name w:val="footer"/>
    <w:basedOn w:val="Normal"/>
    <w:link w:val="PiedepginaCar"/>
    <w:uiPriority w:val="99"/>
    <w:unhideWhenUsed/>
    <w:rsid w:val="00963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480"/>
  </w:style>
  <w:style w:type="character" w:styleId="Refdecomentario">
    <w:name w:val="annotation reference"/>
    <w:basedOn w:val="Fuentedeprrafopredeter"/>
    <w:uiPriority w:val="99"/>
    <w:semiHidden/>
    <w:unhideWhenUsed/>
    <w:rsid w:val="002F10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10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10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0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0CB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4236"/>
    <w:rPr>
      <w:b w:val="0"/>
      <w:bCs w:val="0"/>
      <w:strike w:val="0"/>
      <w:dstrike w:val="0"/>
      <w:color w:val="646464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8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none" w:sz="0" w:space="0" w:color="auto"/>
          </w:divBdr>
          <w:divsChild>
            <w:div w:id="10770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5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EEF"/>
                    <w:right w:val="none" w:sz="0" w:space="0" w:color="auto"/>
                  </w:divBdr>
                  <w:divsChild>
                    <w:div w:id="1789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5DEEF"/>
                            <w:left w:val="single" w:sz="6" w:space="8" w:color="D5DEEF"/>
                            <w:bottom w:val="single" w:sz="6" w:space="8" w:color="D5DEEF"/>
                            <w:right w:val="single" w:sz="6" w:space="8" w:color="D5DEEF"/>
                          </w:divBdr>
                          <w:divsChild>
                            <w:div w:id="20121255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single" w:sz="6" w:space="8" w:color="C4C6C7"/>
                                <w:left w:val="single" w:sz="6" w:space="8" w:color="C4C6C7"/>
                                <w:bottom w:val="single" w:sz="6" w:space="8" w:color="C4C6C7"/>
                                <w:right w:val="single" w:sz="6" w:space="8" w:color="C4C6C7"/>
                              </w:divBdr>
                              <w:divsChild>
                                <w:div w:id="202312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6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09D1-6602-4548-8EF3-2EB33F52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FERRO PICON, ROCIO</cp:lastModifiedBy>
  <cp:revision>2</cp:revision>
  <cp:lastPrinted>2016-03-21T08:06:00Z</cp:lastPrinted>
  <dcterms:created xsi:type="dcterms:W3CDTF">2018-10-26T07:49:00Z</dcterms:created>
  <dcterms:modified xsi:type="dcterms:W3CDTF">2018-10-26T07:49:00Z</dcterms:modified>
</cp:coreProperties>
</file>